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E2" w:rsidRPr="00C778E2" w:rsidRDefault="00C778E2" w:rsidP="00C778E2">
      <w:pPr>
        <w:rPr>
          <w:b/>
          <w:sz w:val="24"/>
          <w:szCs w:val="24"/>
        </w:rPr>
      </w:pPr>
      <w:r w:rsidRPr="00C778E2">
        <w:rPr>
          <w:b/>
          <w:noProof/>
          <w:sz w:val="24"/>
          <w:szCs w:val="24"/>
          <w:lang w:eastAsia="en-CA"/>
        </w:rPr>
        <mc:AlternateContent>
          <mc:Choice Requires="wps">
            <w:drawing>
              <wp:anchor distT="0" distB="0" distL="114300" distR="114300" simplePos="0" relativeHeight="251659264" behindDoc="0" locked="0" layoutInCell="1" allowOverlap="1" wp14:anchorId="7C63A3CE" wp14:editId="15900316">
                <wp:simplePos x="0" y="0"/>
                <wp:positionH relativeFrom="column">
                  <wp:posOffset>-16510</wp:posOffset>
                </wp:positionH>
                <wp:positionV relativeFrom="paragraph">
                  <wp:posOffset>212090</wp:posOffset>
                </wp:positionV>
                <wp:extent cx="6762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7627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6.7pt" to="531.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" strokecolor="black [3213]" strokeweight="1.5pt"/>
            </w:pict>
          </mc:Fallback>
        </mc:AlternateContent>
      </w:r>
      <w:r w:rsidRPr="00C778E2">
        <w:rPr>
          <w:b/>
          <w:sz w:val="24"/>
          <w:szCs w:val="24"/>
        </w:rPr>
        <w:t xml:space="preserve">Lab Activity: Measuring </w:t>
      </w:r>
      <w:proofErr w:type="gramStart"/>
      <w:r w:rsidR="00C81097">
        <w:rPr>
          <w:b/>
          <w:sz w:val="24"/>
          <w:szCs w:val="24"/>
        </w:rPr>
        <w:t>The</w:t>
      </w:r>
      <w:proofErr w:type="gramEnd"/>
      <w:r w:rsidR="00C81097">
        <w:rPr>
          <w:b/>
          <w:sz w:val="24"/>
          <w:szCs w:val="24"/>
        </w:rPr>
        <w:t xml:space="preserve"> Volume of </w:t>
      </w:r>
      <w:r w:rsidRPr="00C778E2">
        <w:rPr>
          <w:b/>
          <w:sz w:val="24"/>
          <w:szCs w:val="24"/>
        </w:rPr>
        <w:t xml:space="preserve">Liquids </w:t>
      </w:r>
      <w:r w:rsidR="00C81097">
        <w:rPr>
          <w:b/>
          <w:sz w:val="24"/>
          <w:szCs w:val="24"/>
        </w:rPr>
        <w:t>U</w:t>
      </w:r>
      <w:r w:rsidRPr="00C778E2">
        <w:rPr>
          <w:b/>
          <w:sz w:val="24"/>
          <w:szCs w:val="24"/>
        </w:rPr>
        <w:t>sing a Graduated Cylinder</w:t>
      </w:r>
    </w:p>
    <w:p w:rsidR="00C778E2" w:rsidRDefault="00C778E2" w:rsidP="00C778E2">
      <w:pPr>
        <w:pStyle w:val="ListParagraph"/>
        <w:numPr>
          <w:ilvl w:val="0"/>
          <w:numId w:val="1"/>
        </w:numPr>
        <w:ind w:left="284" w:hanging="284"/>
        <w:jc w:val="both"/>
      </w:pPr>
      <w:r>
        <w:t xml:space="preserve">Video: “How to </w:t>
      </w:r>
      <w:r w:rsidR="00C81097">
        <w:t>R</w:t>
      </w:r>
      <w:r>
        <w:t xml:space="preserve">ead a Graduated Cylinder” </w:t>
      </w:r>
      <w:r>
        <w:rPr>
          <w:sz w:val="20"/>
        </w:rPr>
        <w:t>(</w:t>
      </w:r>
      <w:hyperlink r:id="rId6" w:history="1">
        <w:r>
          <w:rPr>
            <w:rStyle w:val="Hyperlink"/>
            <w:sz w:val="20"/>
          </w:rPr>
          <w:t>http://www.youtube.com/watch?v=73Tl3aL2i1Y</w:t>
        </w:r>
      </w:hyperlink>
      <w:r>
        <w:rPr>
          <w:rStyle w:val="Hyperlink"/>
          <w:sz w:val="20"/>
        </w:rPr>
        <w:t>)</w:t>
      </w:r>
      <w:r>
        <w:rPr>
          <w:sz w:val="20"/>
        </w:rPr>
        <w:t xml:space="preserve">.   </w:t>
      </w:r>
      <w:r>
        <w:rPr>
          <w:sz w:val="20"/>
        </w:rPr>
        <w:br/>
      </w:r>
      <w:r>
        <w:t>State three things you need to do in order to correctly read the volume of liquid in a graduated cylinder.</w:t>
      </w:r>
    </w:p>
    <w:p w:rsidR="00C778E2" w:rsidRDefault="00F2039C" w:rsidP="00C778E2">
      <w:pPr>
        <w:pStyle w:val="ListParagraph"/>
        <w:numPr>
          <w:ilvl w:val="0"/>
          <w:numId w:val="2"/>
        </w:numPr>
      </w:pPr>
      <w:r>
        <w:rPr>
          <w:b/>
          <w:bCs/>
          <w:color w:val="FF0000"/>
        </w:rPr>
        <w:t>Graduated cylinder needs to sit on a level surface</w:t>
      </w:r>
    </w:p>
    <w:p w:rsidR="00C778E2" w:rsidRDefault="00F2039C" w:rsidP="00C778E2">
      <w:pPr>
        <w:pStyle w:val="ListParagraph"/>
        <w:numPr>
          <w:ilvl w:val="0"/>
          <w:numId w:val="2"/>
        </w:numPr>
        <w:ind w:left="284" w:firstLine="0"/>
      </w:pPr>
      <w:r>
        <w:rPr>
          <w:b/>
          <w:bCs/>
          <w:color w:val="FF0000"/>
        </w:rPr>
        <w:t>Read volume at eye level</w:t>
      </w:r>
    </w:p>
    <w:p w:rsidR="00C778E2" w:rsidRPr="00F2039C" w:rsidRDefault="00F2039C" w:rsidP="00C778E2">
      <w:pPr>
        <w:pStyle w:val="ListParagraph"/>
        <w:numPr>
          <w:ilvl w:val="0"/>
          <w:numId w:val="2"/>
        </w:numPr>
        <w:ind w:left="284" w:firstLine="0"/>
      </w:pPr>
      <w:r>
        <w:rPr>
          <w:b/>
          <w:bCs/>
          <w:color w:val="FF0000"/>
        </w:rPr>
        <w:t>Read at the bottom of the meniscus</w:t>
      </w:r>
    </w:p>
    <w:p w:rsidR="00F2039C" w:rsidRDefault="00F2039C" w:rsidP="00F2039C">
      <w:pPr>
        <w:pStyle w:val="ListParagraph"/>
        <w:ind w:left="284"/>
      </w:pPr>
    </w:p>
    <w:p w:rsidR="00C778E2" w:rsidRDefault="00C778E2" w:rsidP="00C778E2">
      <w:pPr>
        <w:pStyle w:val="ListParagraph"/>
        <w:numPr>
          <w:ilvl w:val="0"/>
          <w:numId w:val="1"/>
        </w:numPr>
        <w:ind w:left="284" w:hanging="284"/>
      </w:pPr>
      <w:r>
        <w:t>Define the term meniscus; include a drawing to help illustrate your definition.</w:t>
      </w:r>
    </w:p>
    <w:p w:rsidR="00C778E2" w:rsidRDefault="00C778E2" w:rsidP="00C778E2">
      <w:pPr>
        <w:pStyle w:val="ListParagraph"/>
        <w:ind w:left="284"/>
      </w:pPr>
      <w:r>
        <w:t>Meniscus:</w:t>
      </w:r>
      <w:r>
        <w:tab/>
      </w:r>
      <w:r>
        <w:tab/>
      </w:r>
      <w:r>
        <w:tab/>
      </w:r>
      <w:r>
        <w:tab/>
      </w:r>
      <w:r>
        <w:tab/>
      </w:r>
      <w:r>
        <w:tab/>
      </w:r>
      <w:r>
        <w:tab/>
      </w:r>
      <w:r w:rsidR="00C81097">
        <w:tab/>
      </w:r>
      <w:r w:rsidR="00C81097">
        <w:tab/>
      </w:r>
      <w:r w:rsidR="00C81097">
        <w:tab/>
      </w:r>
      <w:r>
        <w:t>Drawing:</w:t>
      </w:r>
    </w:p>
    <w:p w:rsidR="00C778E2" w:rsidRDefault="00F2039C" w:rsidP="00C778E2">
      <w:pPr>
        <w:pStyle w:val="ListParagraph"/>
        <w:ind w:left="284"/>
      </w:pPr>
      <w:r>
        <w:rPr>
          <w:noProof/>
          <w:color w:val="000000"/>
          <w:lang w:eastAsia="en-CA"/>
        </w:rPr>
        <w:drawing>
          <wp:anchor distT="0" distB="0" distL="114300" distR="114300" simplePos="0" relativeHeight="251660288" behindDoc="1" locked="0" layoutInCell="1" allowOverlap="1" wp14:anchorId="29E0AE59" wp14:editId="2B8D4820">
            <wp:simplePos x="0" y="0"/>
            <wp:positionH relativeFrom="column">
              <wp:posOffset>4103370</wp:posOffset>
            </wp:positionH>
            <wp:positionV relativeFrom="paragraph">
              <wp:posOffset>15875</wp:posOffset>
            </wp:positionV>
            <wp:extent cx="2124075" cy="1495425"/>
            <wp:effectExtent l="0" t="0" r="9525" b="9525"/>
            <wp:wrapThrough wrapText="bothSides">
              <wp:wrapPolygon edited="0">
                <wp:start x="0" y="0"/>
                <wp:lineTo x="0" y="21462"/>
                <wp:lineTo x="21503" y="21462"/>
                <wp:lineTo x="21503" y="0"/>
                <wp:lineTo x="0" y="0"/>
              </wp:wrapPolygon>
            </wp:wrapThrough>
            <wp:docPr id="5" name="Picture 5" descr="Image result for how to read a graduated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w to read a graduated cylin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FF0000"/>
        </w:rPr>
        <w:t xml:space="preserve">Water in a container </w:t>
      </w:r>
      <w:r>
        <w:rPr>
          <w:b/>
          <w:bCs/>
          <w:color w:val="FF0000"/>
        </w:rPr>
        <w:br/>
        <w:t>will climb up the sides</w:t>
      </w:r>
    </w:p>
    <w:p w:rsidR="00C778E2" w:rsidRDefault="00C778E2" w:rsidP="00C778E2">
      <w:pPr>
        <w:pStyle w:val="ListParagraph"/>
        <w:ind w:left="284"/>
      </w:pPr>
    </w:p>
    <w:p w:rsidR="00C778E2" w:rsidRDefault="00C778E2" w:rsidP="00C778E2">
      <w:pPr>
        <w:pStyle w:val="ListParagraph"/>
        <w:ind w:left="284"/>
      </w:pPr>
    </w:p>
    <w:p w:rsidR="00C778E2" w:rsidRDefault="00C778E2" w:rsidP="00C778E2">
      <w:pPr>
        <w:pStyle w:val="ListParagraph"/>
        <w:ind w:left="284"/>
      </w:pPr>
    </w:p>
    <w:p w:rsidR="00C778E2" w:rsidRDefault="00C778E2" w:rsidP="00C778E2">
      <w:pPr>
        <w:pStyle w:val="ListParagraph"/>
        <w:ind w:left="284"/>
      </w:pPr>
    </w:p>
    <w:p w:rsidR="00C778E2" w:rsidRDefault="00C778E2" w:rsidP="00C778E2">
      <w:pPr>
        <w:pStyle w:val="ListParagraph"/>
        <w:ind w:left="284"/>
      </w:pPr>
    </w:p>
    <w:p w:rsidR="00C778E2" w:rsidRDefault="00C778E2" w:rsidP="00C778E2">
      <w:pPr>
        <w:pStyle w:val="ListParagraph"/>
        <w:numPr>
          <w:ilvl w:val="0"/>
          <w:numId w:val="1"/>
        </w:numPr>
        <w:ind w:left="284" w:hanging="284"/>
        <w:jc w:val="both"/>
      </w:pPr>
      <w:r>
        <w:t>Each graduated cylinder is different so it is important to look closely at the scale to make sure you know the value of each tick mark.  What is the volume of liquid in each of the following graduated cylinders?</w:t>
      </w:r>
    </w:p>
    <w:tbl>
      <w:tblPr>
        <w:tblStyle w:val="TableGrid"/>
        <w:tblW w:w="0" w:type="auto"/>
        <w:tblInd w:w="284" w:type="dxa"/>
        <w:tblLook w:val="04A0" w:firstRow="1" w:lastRow="0" w:firstColumn="1" w:lastColumn="0" w:noHBand="0" w:noVBand="1"/>
      </w:tblPr>
      <w:tblGrid>
        <w:gridCol w:w="3454"/>
        <w:gridCol w:w="3258"/>
        <w:gridCol w:w="3426"/>
      </w:tblGrid>
      <w:tr w:rsidR="00C778E2" w:rsidTr="00F2039C">
        <w:tc>
          <w:tcPr>
            <w:tcW w:w="3454" w:type="dxa"/>
            <w:tcBorders>
              <w:top w:val="single" w:sz="4" w:space="0" w:color="auto"/>
              <w:left w:val="single" w:sz="4" w:space="0" w:color="auto"/>
              <w:bottom w:val="single" w:sz="4" w:space="0" w:color="auto"/>
              <w:right w:val="single" w:sz="4" w:space="0" w:color="auto"/>
            </w:tcBorders>
            <w:hideMark/>
          </w:tcPr>
          <w:p w:rsidR="00C778E2" w:rsidRDefault="00C778E2">
            <w:pPr>
              <w:pStyle w:val="ListParagraph"/>
              <w:ind w:left="0"/>
            </w:pPr>
            <w:r>
              <w:rPr>
                <w:rFonts w:ascii="Arial" w:hAnsi="Arial" w:cs="Arial"/>
                <w:noProof/>
                <w:color w:val="0000FF"/>
                <w:sz w:val="18"/>
                <w:szCs w:val="18"/>
                <w:lang w:eastAsia="en-CA"/>
              </w:rPr>
              <w:drawing>
                <wp:inline distT="0" distB="0" distL="0" distR="0" wp14:anchorId="544E57CE" wp14:editId="5C8B5925">
                  <wp:extent cx="2209800" cy="1657350"/>
                  <wp:effectExtent l="0" t="0" r="0" b="0"/>
                  <wp:docPr id="3" name="Picture 3" descr="http://ts1.mm.bing.net/th?id=H.4740274934843348&amp;pid=15.1">
                    <a:hlinkClick xmlns:a="http://schemas.openxmlformats.org/drawingml/2006/main" r:id="rId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id=H.4740274934843348&amp;pid=15.1">
                            <a:hlinkClick r:id="rId8" tgtFrame="&quot;_to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657350"/>
                          </a:xfrm>
                          <a:prstGeom prst="rect">
                            <a:avLst/>
                          </a:prstGeom>
                          <a:noFill/>
                          <a:ln>
                            <a:noFill/>
                          </a:ln>
                        </pic:spPr>
                      </pic:pic>
                    </a:graphicData>
                  </a:graphic>
                </wp:inline>
              </w:drawing>
            </w:r>
          </w:p>
        </w:tc>
        <w:tc>
          <w:tcPr>
            <w:tcW w:w="3258" w:type="dxa"/>
            <w:tcBorders>
              <w:top w:val="single" w:sz="4" w:space="0" w:color="auto"/>
              <w:left w:val="single" w:sz="4" w:space="0" w:color="auto"/>
              <w:bottom w:val="single" w:sz="4" w:space="0" w:color="auto"/>
              <w:right w:val="single" w:sz="4" w:space="0" w:color="auto"/>
            </w:tcBorders>
            <w:hideMark/>
          </w:tcPr>
          <w:p w:rsidR="00C778E2" w:rsidRDefault="00C778E2">
            <w:pPr>
              <w:pStyle w:val="ListParagraph"/>
              <w:ind w:left="0"/>
            </w:pPr>
            <w:r>
              <w:rPr>
                <w:rFonts w:ascii="Arial" w:hAnsi="Arial" w:cs="Arial"/>
                <w:noProof/>
                <w:color w:val="0000FF"/>
                <w:sz w:val="18"/>
                <w:szCs w:val="18"/>
                <w:lang w:eastAsia="en-CA"/>
              </w:rPr>
              <w:drawing>
                <wp:inline distT="0" distB="0" distL="0" distR="0" wp14:anchorId="68E7BC14" wp14:editId="1D272ABA">
                  <wp:extent cx="2076450" cy="1562100"/>
                  <wp:effectExtent l="0" t="0" r="0" b="0"/>
                  <wp:docPr id="2" name="Picture 2" descr="http://ts3.mm.bing.net/th?id=H.4543986353310542&amp;pid=15.1">
                    <a:hlinkClick xmlns:a="http://schemas.openxmlformats.org/drawingml/2006/main" r:id="rId10"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3.mm.bing.net/th?id=H.4543986353310542&amp;pid=15.1">
                            <a:hlinkClick r:id="rId10" tgtFrame="&quot;_top&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1562100"/>
                          </a:xfrm>
                          <a:prstGeom prst="rect">
                            <a:avLst/>
                          </a:prstGeom>
                          <a:noFill/>
                          <a:ln>
                            <a:noFill/>
                          </a:ln>
                        </pic:spPr>
                      </pic:pic>
                    </a:graphicData>
                  </a:graphic>
                </wp:inline>
              </w:drawing>
            </w:r>
          </w:p>
        </w:tc>
        <w:tc>
          <w:tcPr>
            <w:tcW w:w="3426" w:type="dxa"/>
            <w:tcBorders>
              <w:top w:val="single" w:sz="4" w:space="0" w:color="auto"/>
              <w:left w:val="single" w:sz="4" w:space="0" w:color="auto"/>
              <w:bottom w:val="single" w:sz="4" w:space="0" w:color="auto"/>
              <w:right w:val="single" w:sz="4" w:space="0" w:color="auto"/>
            </w:tcBorders>
            <w:hideMark/>
          </w:tcPr>
          <w:p w:rsidR="00C778E2" w:rsidRDefault="00C778E2">
            <w:pPr>
              <w:pStyle w:val="ListParagraph"/>
              <w:ind w:left="0"/>
            </w:pPr>
            <w:r>
              <w:rPr>
                <w:rFonts w:ascii="Helvetica" w:hAnsi="Helvetica" w:cs="Helvetica"/>
                <w:noProof/>
                <w:color w:val="000000"/>
                <w:sz w:val="20"/>
                <w:szCs w:val="20"/>
                <w:lang w:eastAsia="en-CA"/>
              </w:rPr>
              <w:drawing>
                <wp:inline distT="0" distB="0" distL="0" distR="0" wp14:anchorId="029EE4C9" wp14:editId="24BBA3E0">
                  <wp:extent cx="2181225" cy="1638300"/>
                  <wp:effectExtent l="0" t="0" r="9525" b="0"/>
                  <wp:docPr id="1" name="Picture 1" descr="http://www.uwplatt.edu/chemep/chem/chemscape/labdocs/catofp/measurea/scales/pic/00230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wplatt.edu/chemep/chem/chemscape/labdocs/catofp/measurea/scales/pic/0023062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1638300"/>
                          </a:xfrm>
                          <a:prstGeom prst="rect">
                            <a:avLst/>
                          </a:prstGeom>
                          <a:noFill/>
                          <a:ln>
                            <a:noFill/>
                          </a:ln>
                        </pic:spPr>
                      </pic:pic>
                    </a:graphicData>
                  </a:graphic>
                </wp:inline>
              </w:drawing>
            </w:r>
          </w:p>
        </w:tc>
      </w:tr>
      <w:tr w:rsidR="00F2039C" w:rsidTr="00F2039C">
        <w:tc>
          <w:tcPr>
            <w:tcW w:w="3454" w:type="dxa"/>
            <w:tcBorders>
              <w:top w:val="single" w:sz="4" w:space="0" w:color="auto"/>
              <w:left w:val="single" w:sz="4" w:space="0" w:color="auto"/>
              <w:bottom w:val="single" w:sz="4" w:space="0" w:color="auto"/>
              <w:right w:val="single" w:sz="4" w:space="0" w:color="auto"/>
            </w:tcBorders>
          </w:tcPr>
          <w:p w:rsidR="00F2039C" w:rsidRPr="00F2039C" w:rsidRDefault="00F2039C" w:rsidP="00F2039C">
            <w:pPr>
              <w:jc w:val="center"/>
              <w:rPr>
                <w:b/>
                <w:color w:val="FF0000"/>
              </w:rPr>
            </w:pPr>
            <w:r w:rsidRPr="00F2039C">
              <w:rPr>
                <w:b/>
                <w:color w:val="FF0000"/>
              </w:rPr>
              <w:t>6.6 mL</w:t>
            </w:r>
          </w:p>
        </w:tc>
        <w:tc>
          <w:tcPr>
            <w:tcW w:w="3258" w:type="dxa"/>
            <w:tcBorders>
              <w:top w:val="single" w:sz="4" w:space="0" w:color="auto"/>
              <w:left w:val="single" w:sz="4" w:space="0" w:color="auto"/>
              <w:bottom w:val="single" w:sz="4" w:space="0" w:color="auto"/>
              <w:right w:val="single" w:sz="4" w:space="0" w:color="auto"/>
            </w:tcBorders>
          </w:tcPr>
          <w:p w:rsidR="00F2039C" w:rsidRPr="00F2039C" w:rsidRDefault="00F2039C" w:rsidP="00F2039C">
            <w:pPr>
              <w:jc w:val="center"/>
              <w:rPr>
                <w:b/>
                <w:color w:val="FF0000"/>
              </w:rPr>
            </w:pPr>
            <w:r w:rsidRPr="00F2039C">
              <w:rPr>
                <w:b/>
                <w:color w:val="FF0000"/>
              </w:rPr>
              <w:t>52.9 mL</w:t>
            </w:r>
            <w:bookmarkStart w:id="0" w:name="_GoBack"/>
            <w:bookmarkEnd w:id="0"/>
          </w:p>
        </w:tc>
        <w:tc>
          <w:tcPr>
            <w:tcW w:w="3426" w:type="dxa"/>
            <w:tcBorders>
              <w:top w:val="single" w:sz="4" w:space="0" w:color="auto"/>
              <w:left w:val="single" w:sz="4" w:space="0" w:color="auto"/>
              <w:bottom w:val="single" w:sz="4" w:space="0" w:color="auto"/>
              <w:right w:val="single" w:sz="4" w:space="0" w:color="auto"/>
            </w:tcBorders>
          </w:tcPr>
          <w:p w:rsidR="00F2039C" w:rsidRPr="00F2039C" w:rsidRDefault="00F2039C" w:rsidP="00F2039C">
            <w:pPr>
              <w:jc w:val="center"/>
              <w:rPr>
                <w:b/>
                <w:color w:val="FF0000"/>
              </w:rPr>
            </w:pPr>
            <w:r w:rsidRPr="00F2039C">
              <w:rPr>
                <w:b/>
                <w:color w:val="FF0000"/>
              </w:rPr>
              <w:t>11.5 mL</w:t>
            </w:r>
          </w:p>
        </w:tc>
      </w:tr>
    </w:tbl>
    <w:p w:rsidR="00C778E2" w:rsidRDefault="00C778E2" w:rsidP="00C778E2">
      <w:pPr>
        <w:pStyle w:val="ListParagraph"/>
        <w:ind w:left="284"/>
      </w:pPr>
    </w:p>
    <w:p w:rsidR="00C778E2" w:rsidRDefault="00C778E2" w:rsidP="00C778E2">
      <w:pPr>
        <w:pStyle w:val="ListParagraph"/>
        <w:numPr>
          <w:ilvl w:val="0"/>
          <w:numId w:val="1"/>
        </w:numPr>
        <w:ind w:left="284" w:hanging="284"/>
        <w:jc w:val="both"/>
      </w:pPr>
      <w:r>
        <w:t>Record the volume of liquid in each of the three graduated cylinders in the lab.  Make sure to include units.</w:t>
      </w:r>
    </w:p>
    <w:tbl>
      <w:tblPr>
        <w:tblStyle w:val="TableGrid"/>
        <w:tblW w:w="10172" w:type="dxa"/>
        <w:tblInd w:w="284" w:type="dxa"/>
        <w:tblLook w:val="04A0" w:firstRow="1" w:lastRow="0" w:firstColumn="1" w:lastColumn="0" w:noHBand="0" w:noVBand="1"/>
      </w:tblPr>
      <w:tblGrid>
        <w:gridCol w:w="3510"/>
        <w:gridCol w:w="3118"/>
        <w:gridCol w:w="3544"/>
      </w:tblGrid>
      <w:tr w:rsidR="00C778E2" w:rsidTr="00C778E2">
        <w:tc>
          <w:tcPr>
            <w:tcW w:w="3510" w:type="dxa"/>
            <w:tcBorders>
              <w:top w:val="single" w:sz="4" w:space="0" w:color="auto"/>
              <w:left w:val="single" w:sz="4" w:space="0" w:color="auto"/>
              <w:bottom w:val="single" w:sz="4" w:space="0" w:color="auto"/>
              <w:right w:val="single" w:sz="4" w:space="0" w:color="auto"/>
            </w:tcBorders>
          </w:tcPr>
          <w:p w:rsidR="00C778E2" w:rsidRDefault="00C778E2">
            <w:pPr>
              <w:pStyle w:val="ListParagraph"/>
              <w:ind w:left="0"/>
            </w:pPr>
            <w:r>
              <w:t>A.</w:t>
            </w:r>
          </w:p>
          <w:p w:rsidR="00C778E2" w:rsidRDefault="00C778E2">
            <w:pPr>
              <w:pStyle w:val="ListParagraph"/>
              <w:ind w:left="0"/>
            </w:pPr>
          </w:p>
        </w:tc>
        <w:tc>
          <w:tcPr>
            <w:tcW w:w="3118" w:type="dxa"/>
            <w:tcBorders>
              <w:top w:val="single" w:sz="4" w:space="0" w:color="auto"/>
              <w:left w:val="single" w:sz="4" w:space="0" w:color="auto"/>
              <w:bottom w:val="single" w:sz="4" w:space="0" w:color="auto"/>
              <w:right w:val="single" w:sz="4" w:space="0" w:color="auto"/>
            </w:tcBorders>
            <w:hideMark/>
          </w:tcPr>
          <w:p w:rsidR="00C778E2" w:rsidRDefault="00C778E2">
            <w:pPr>
              <w:pStyle w:val="ListParagraph"/>
              <w:ind w:left="0"/>
            </w:pPr>
            <w:r>
              <w:t>B.</w:t>
            </w:r>
          </w:p>
        </w:tc>
        <w:tc>
          <w:tcPr>
            <w:tcW w:w="3544" w:type="dxa"/>
            <w:tcBorders>
              <w:top w:val="single" w:sz="4" w:space="0" w:color="auto"/>
              <w:left w:val="single" w:sz="4" w:space="0" w:color="auto"/>
              <w:bottom w:val="single" w:sz="4" w:space="0" w:color="auto"/>
              <w:right w:val="single" w:sz="4" w:space="0" w:color="auto"/>
            </w:tcBorders>
            <w:hideMark/>
          </w:tcPr>
          <w:p w:rsidR="00C778E2" w:rsidRDefault="00C778E2">
            <w:pPr>
              <w:pStyle w:val="ListParagraph"/>
              <w:ind w:left="0"/>
            </w:pPr>
            <w:r>
              <w:t>C.</w:t>
            </w:r>
          </w:p>
        </w:tc>
      </w:tr>
    </w:tbl>
    <w:p w:rsidR="00FB2273" w:rsidRDefault="00F2039C"/>
    <w:sectPr w:rsidR="00FB2273" w:rsidSect="00C778E2">
      <w:pgSz w:w="12240" w:h="15840"/>
      <w:pgMar w:top="567" w:right="104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A2874"/>
    <w:multiLevelType w:val="hybridMultilevel"/>
    <w:tmpl w:val="1D8AA272"/>
    <w:lvl w:ilvl="0" w:tplc="DE003420">
      <w:start w:val="1"/>
      <w:numFmt w:val="lowerLetter"/>
      <w:lvlText w:val="%1."/>
      <w:lvlJc w:val="left"/>
      <w:pPr>
        <w:ind w:left="644" w:hanging="360"/>
      </w:p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1">
    <w:nsid w:val="6E934CC1"/>
    <w:multiLevelType w:val="hybridMultilevel"/>
    <w:tmpl w:val="048014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E2"/>
    <w:rsid w:val="00375E4C"/>
    <w:rsid w:val="00C778E2"/>
    <w:rsid w:val="00C81097"/>
    <w:rsid w:val="00C94629"/>
    <w:rsid w:val="00CA20DA"/>
    <w:rsid w:val="00F203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E2"/>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78E2"/>
    <w:rPr>
      <w:color w:val="0000FF" w:themeColor="hyperlink"/>
      <w:u w:val="single"/>
    </w:rPr>
  </w:style>
  <w:style w:type="paragraph" w:styleId="NoSpacing">
    <w:name w:val="No Spacing"/>
    <w:uiPriority w:val="1"/>
    <w:qFormat/>
    <w:rsid w:val="00C778E2"/>
    <w:pPr>
      <w:spacing w:after="0" w:line="240" w:lineRule="auto"/>
    </w:pPr>
    <w:rPr>
      <w:rFonts w:ascii="Comic Sans MS" w:hAnsi="Comic Sans MS"/>
    </w:rPr>
  </w:style>
  <w:style w:type="paragraph" w:styleId="ListParagraph">
    <w:name w:val="List Paragraph"/>
    <w:basedOn w:val="Normal"/>
    <w:uiPriority w:val="34"/>
    <w:qFormat/>
    <w:rsid w:val="00C778E2"/>
    <w:pPr>
      <w:ind w:left="720"/>
      <w:contextualSpacing/>
    </w:pPr>
  </w:style>
  <w:style w:type="table" w:styleId="TableGrid">
    <w:name w:val="Table Grid"/>
    <w:basedOn w:val="TableNormal"/>
    <w:uiPriority w:val="59"/>
    <w:rsid w:val="00C778E2"/>
    <w:pPr>
      <w:spacing w:after="0" w:line="240" w:lineRule="auto"/>
    </w:pPr>
    <w:rPr>
      <w:rFonts w:ascii="Comic Sans MS" w:hAnsi="Comic Sans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8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E2"/>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78E2"/>
    <w:rPr>
      <w:color w:val="0000FF" w:themeColor="hyperlink"/>
      <w:u w:val="single"/>
    </w:rPr>
  </w:style>
  <w:style w:type="paragraph" w:styleId="NoSpacing">
    <w:name w:val="No Spacing"/>
    <w:uiPriority w:val="1"/>
    <w:qFormat/>
    <w:rsid w:val="00C778E2"/>
    <w:pPr>
      <w:spacing w:after="0" w:line="240" w:lineRule="auto"/>
    </w:pPr>
    <w:rPr>
      <w:rFonts w:ascii="Comic Sans MS" w:hAnsi="Comic Sans MS"/>
    </w:rPr>
  </w:style>
  <w:style w:type="paragraph" w:styleId="ListParagraph">
    <w:name w:val="List Paragraph"/>
    <w:basedOn w:val="Normal"/>
    <w:uiPriority w:val="34"/>
    <w:qFormat/>
    <w:rsid w:val="00C778E2"/>
    <w:pPr>
      <w:ind w:left="720"/>
      <w:contextualSpacing/>
    </w:pPr>
  </w:style>
  <w:style w:type="table" w:styleId="TableGrid">
    <w:name w:val="Table Grid"/>
    <w:basedOn w:val="TableNormal"/>
    <w:uiPriority w:val="59"/>
    <w:rsid w:val="00C778E2"/>
    <w:pPr>
      <w:spacing w:after="0" w:line="240" w:lineRule="auto"/>
    </w:pPr>
    <w:rPr>
      <w:rFonts w:ascii="Comic Sans MS" w:hAnsi="Comic Sans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975764">
      <w:bodyDiv w:val="1"/>
      <w:marLeft w:val="0"/>
      <w:marRight w:val="0"/>
      <w:marTop w:val="0"/>
      <w:marBottom w:val="0"/>
      <w:divBdr>
        <w:top w:val="none" w:sz="0" w:space="0" w:color="auto"/>
        <w:left w:val="none" w:sz="0" w:space="0" w:color="auto"/>
        <w:bottom w:val="none" w:sz="0" w:space="0" w:color="auto"/>
        <w:right w:val="none" w:sz="0" w:space="0" w:color="auto"/>
      </w:divBdr>
      <w:divsChild>
        <w:div w:id="191698381">
          <w:marLeft w:val="0"/>
          <w:marRight w:val="0"/>
          <w:marTop w:val="0"/>
          <w:marBottom w:val="0"/>
          <w:divBdr>
            <w:top w:val="none" w:sz="0" w:space="0" w:color="auto"/>
            <w:left w:val="none" w:sz="0" w:space="0" w:color="auto"/>
            <w:bottom w:val="none" w:sz="0" w:space="0" w:color="auto"/>
            <w:right w:val="none" w:sz="0" w:space="0" w:color="auto"/>
          </w:divBdr>
        </w:div>
      </w:divsChild>
    </w:div>
    <w:div w:id="20262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images.search.yahoo.com/images/view;_ylt=A0PDodhwQB5SYUgAgs7tFAx.;_ylu=X3oDMTFydXVpb25uBHNlYwNzcgRzbGsDaW1nBG9pZANiMjg5M2YyOWVhZDUwMWQ4YjliZjczM2IyYzM2ZThiZgRncG9zAzYz?back=http://ca.images.search.yahoo.com/search/images?p=graduated+cylinder&amp;fr=yfp-t-715-s&amp;fr2=piv-web&amp;tab=organic&amp;ri=63&amp;w=320&amp;h=240&amp;imgurl=www.quia.com/files/quia/users/jheim/Images/graduated-cylinder.jpg&amp;rurl=http://www.quia.com/files/quia/users/jheim/measurement.htm&amp;size=15.1KB&amp;name=%3cb%3eGraduated+cylinder+%3c/b%3eand+Metric+Ruler+-+Measurement+practice.&amp;p=graduated+cylinder&amp;oid=b2893f29ead501d8b9bf733b2c36e8bf&amp;fr2=piv-web&amp;fr=yfp-t-715-s&amp;tt=%3cb%3eGraduated+cylinder+%3c/b%3eand+Metric+Ruler+-+Measurement+practice.&amp;b=61&amp;ni=128&amp;no=63&amp;ts=&amp;tab=organic&amp;sigr=11qgou5ha&amp;sigb=13hlc6crg&amp;sigi=1219t9ufq&amp;.crumb=3IxYRj4rdnR&amp;fr=yfp-t-715-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73Tl3aL2i1Y"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ca.images.search.yahoo.com/images/view;_ylt=A0PDodhwQB5SYUgAhc7tFAx.;_ylu=X3oDMTFycWNqOXFsBHNlYwNzcgRzbGsDaW1nBG9pZAMwMjBjMGIxNDI3N2M1ZTFmNTQ1N2FlYzI5ZjYzYzU2NwRncG9zAzY2?back=http://ca.images.search.yahoo.com/search/images?p=graduated+cylinder&amp;fr=yfp-t-715-s&amp;fr2=piv-web&amp;tab=organic&amp;ri=66&amp;w=320&amp;h=240&amp;imgurl=www.uwplatt.edu/chemep/chem/chemscape/labdocs/catofp/measurea/volume/gradcyl/pic/00322409.jpg&amp;rurl=http://romansakimia.blogspot.com/2012/02/graduated-cylinder-gelas-ukur.html&amp;size=19.9KB&amp;name=%3cb%3eGraduated+Cylinder+%3c/b%3e(Gelas+Ukur)+~+Romansa+Kimia&amp;p=graduated+cylinder&amp;oid=020c0b14277c5e1f5457aec29f63c567&amp;fr2=piv-web&amp;fr=yfp-t-715-s&amp;tt=%3cb%3eGraduated+Cylinder+%3c/b%3e(Gelas+Ukur)+~+Romansa+Kimia&amp;b=61&amp;ni=128&amp;no=66&amp;ts=&amp;tab=organic&amp;sigr=12ba7gvac&amp;sigb=13h22dpvm&amp;sigi=12tvbb2qc&amp;.crumb=3IxYRj4rdnR&amp;fr=yfp-t-715-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WRDSB</cp:lastModifiedBy>
  <cp:revision>3</cp:revision>
  <dcterms:created xsi:type="dcterms:W3CDTF">2016-09-21T22:05:00Z</dcterms:created>
  <dcterms:modified xsi:type="dcterms:W3CDTF">2016-09-21T22:09:00Z</dcterms:modified>
</cp:coreProperties>
</file>